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6CA5" w14:textId="77777777" w:rsidR="005D257D" w:rsidRDefault="005D257D"/>
    <w:p w14:paraId="73BA69F5" w14:textId="77777777" w:rsidR="005A6DF6" w:rsidRPr="005A6DF6" w:rsidRDefault="005A6DF6" w:rsidP="005A6DF6">
      <w:pPr>
        <w:keepNext/>
        <w:keepLines/>
        <w:spacing w:before="40" w:after="240"/>
        <w:ind w:left="720" w:hanging="360"/>
        <w:outlineLvl w:val="2"/>
        <w:rPr>
          <w:rFonts w:eastAsiaTheme="majorEastAsia" w:cstheme="majorBidi"/>
          <w:b/>
          <w:bCs/>
          <w:color w:val="008080"/>
          <w:sz w:val="24"/>
          <w:szCs w:val="24"/>
          <w:u w:val="single"/>
        </w:rPr>
      </w:pPr>
      <w:r w:rsidRPr="005A6DF6">
        <w:rPr>
          <w:rFonts w:eastAsiaTheme="majorEastAsia" w:cstheme="majorBidi"/>
          <w:b/>
          <w:bCs/>
          <w:color w:val="008080"/>
          <w:sz w:val="24"/>
          <w:szCs w:val="24"/>
          <w:u w:val="single"/>
        </w:rPr>
        <w:t>Présentation de l’association</w:t>
      </w:r>
    </w:p>
    <w:p w14:paraId="517FD2EA" w14:textId="69C786B1" w:rsidR="005A6DF6" w:rsidRPr="005A6DF6" w:rsidRDefault="005A6DF6" w:rsidP="005A6DF6">
      <w:pPr>
        <w:suppressAutoHyphens/>
        <w:spacing w:after="120" w:line="276" w:lineRule="auto"/>
        <w:jc w:val="both"/>
      </w:pPr>
      <w:r w:rsidRPr="005A6DF6">
        <w:t xml:space="preserve">L’association ARTAG a été </w:t>
      </w:r>
      <w:r w:rsidR="00EB7140" w:rsidRPr="005A6DF6">
        <w:t>créé</w:t>
      </w:r>
      <w:r w:rsidRPr="005A6DF6">
        <w:t xml:space="preserve"> le 2 octobre 1985. Depuis 40 ans, l’association intervient sur le département du Rhône et au-delà afin de contribuer à la promotion sociale, à la reconnaissance culturelle, économique et professionnelle des populations tsiganes.</w:t>
      </w:r>
    </w:p>
    <w:p w14:paraId="2FCB3F0A" w14:textId="77777777" w:rsidR="005A6DF6" w:rsidRPr="005A6DF6" w:rsidRDefault="005A6DF6" w:rsidP="005A6DF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233E28EB" w14:textId="77777777" w:rsidR="005A6DF6" w:rsidRPr="005A6DF6" w:rsidRDefault="005A6DF6" w:rsidP="005A6DF6">
      <w:pPr>
        <w:keepNext/>
        <w:keepLines/>
        <w:spacing w:before="40" w:after="240"/>
        <w:outlineLvl w:val="2"/>
        <w:rPr>
          <w:rFonts w:eastAsiaTheme="majorEastAsia" w:cstheme="majorBidi"/>
          <w:b/>
          <w:bCs/>
          <w:u w:val="single"/>
        </w:rPr>
      </w:pPr>
      <w:bookmarkStart w:id="0" w:name="_Toc162793754"/>
      <w:r w:rsidRPr="005A6DF6">
        <w:rPr>
          <w:rFonts w:eastAsiaTheme="majorEastAsia" w:cstheme="majorBidi"/>
          <w:b/>
          <w:bCs/>
          <w:u w:val="single"/>
        </w:rPr>
        <w:t>La raison d’être de l’association</w:t>
      </w:r>
      <w:bookmarkEnd w:id="0"/>
    </w:p>
    <w:p w14:paraId="22B48163" w14:textId="77777777" w:rsidR="005A6DF6" w:rsidRPr="005A6DF6" w:rsidRDefault="005A6DF6" w:rsidP="005A6DF6">
      <w:pPr>
        <w:spacing w:after="120" w:line="276" w:lineRule="auto"/>
      </w:pPr>
      <w:r w:rsidRPr="005A6DF6">
        <w:t>Quatre éléments principaux constituent la raison d’être de l’ARTAG :</w:t>
      </w:r>
    </w:p>
    <w:p w14:paraId="01D4676B" w14:textId="77777777" w:rsidR="005A6DF6" w:rsidRPr="005A6DF6" w:rsidRDefault="005A6DF6" w:rsidP="005A6DF6">
      <w:pPr>
        <w:numPr>
          <w:ilvl w:val="0"/>
          <w:numId w:val="1"/>
        </w:numPr>
        <w:spacing w:after="120" w:line="276" w:lineRule="auto"/>
        <w:contextualSpacing/>
      </w:pPr>
      <w:r w:rsidRPr="005A6DF6">
        <w:t>Favoriser la rencontre, l’interconnaissance et l’interculturalité</w:t>
      </w:r>
    </w:p>
    <w:p w14:paraId="4C902D0A" w14:textId="77777777" w:rsidR="005A6DF6" w:rsidRPr="005A6DF6" w:rsidRDefault="005A6DF6" w:rsidP="005A6DF6">
      <w:pPr>
        <w:numPr>
          <w:ilvl w:val="0"/>
          <w:numId w:val="1"/>
        </w:numPr>
        <w:spacing w:after="120" w:line="276" w:lineRule="auto"/>
        <w:contextualSpacing/>
      </w:pPr>
      <w:r w:rsidRPr="005A6DF6">
        <w:t>Contribuer à l’amélioration de la qualité de vie</w:t>
      </w:r>
    </w:p>
    <w:p w14:paraId="521CC92D" w14:textId="77777777" w:rsidR="005A6DF6" w:rsidRPr="005A6DF6" w:rsidRDefault="005A6DF6" w:rsidP="005A6DF6">
      <w:pPr>
        <w:numPr>
          <w:ilvl w:val="0"/>
          <w:numId w:val="1"/>
        </w:numPr>
        <w:spacing w:after="120" w:line="276" w:lineRule="auto"/>
        <w:contextualSpacing/>
      </w:pPr>
      <w:r w:rsidRPr="005A6DF6">
        <w:t>Défendre les droits et garantir la pleine citoyenneté des gens du voyage</w:t>
      </w:r>
    </w:p>
    <w:p w14:paraId="355EAD72" w14:textId="77777777" w:rsidR="005A6DF6" w:rsidRPr="005A6DF6" w:rsidRDefault="005A6DF6" w:rsidP="005A6DF6">
      <w:pPr>
        <w:numPr>
          <w:ilvl w:val="0"/>
          <w:numId w:val="1"/>
        </w:numPr>
        <w:spacing w:after="120" w:line="276" w:lineRule="auto"/>
        <w:contextualSpacing/>
      </w:pPr>
      <w:r w:rsidRPr="005A6DF6">
        <w:t>Porter un plaidoyer politique</w:t>
      </w:r>
    </w:p>
    <w:p w14:paraId="0C30D00D" w14:textId="77777777" w:rsidR="005A6DF6" w:rsidRPr="005A6DF6" w:rsidRDefault="005A6DF6" w:rsidP="005A6DF6"/>
    <w:p w14:paraId="47AA29D6" w14:textId="77777777" w:rsidR="005A6DF6" w:rsidRPr="005A6DF6" w:rsidRDefault="005A6DF6" w:rsidP="005A6DF6">
      <w:r w:rsidRPr="005A6DF6">
        <w:rPr>
          <w:noProof/>
        </w:rPr>
        <w:drawing>
          <wp:inline distT="0" distB="0" distL="0" distR="0" wp14:anchorId="731A3E24" wp14:editId="67DF7C41">
            <wp:extent cx="4603720" cy="3133725"/>
            <wp:effectExtent l="19050" t="19050" r="26035" b="9525"/>
            <wp:docPr id="1491813930" name="Image 1" descr="Une image contenant texte, roue, véhicule, Véhicule terres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13930" name="Image 1" descr="Une image contenant texte, roue, véhicule, Véhicule terres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66" cy="314097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6613C989" w14:textId="77777777" w:rsidR="005A6DF6" w:rsidRPr="005A6DF6" w:rsidRDefault="005A6DF6" w:rsidP="005A6DF6"/>
    <w:p w14:paraId="202781F6" w14:textId="77777777" w:rsidR="005A6DF6" w:rsidRPr="005A6DF6" w:rsidRDefault="005A6DF6" w:rsidP="005A6DF6">
      <w:pPr>
        <w:keepNext/>
        <w:keepLines/>
        <w:spacing w:before="40" w:after="240"/>
        <w:outlineLvl w:val="2"/>
        <w:rPr>
          <w:rFonts w:eastAsiaTheme="majorEastAsia" w:cstheme="majorBidi"/>
          <w:b/>
          <w:bCs/>
          <w:u w:val="single"/>
        </w:rPr>
      </w:pPr>
      <w:bookmarkStart w:id="1" w:name="_Toc162793753"/>
      <w:r w:rsidRPr="005A6DF6">
        <w:rPr>
          <w:rFonts w:eastAsiaTheme="majorEastAsia" w:cstheme="majorBidi"/>
          <w:b/>
          <w:bCs/>
          <w:u w:val="single"/>
        </w:rPr>
        <w:t>La valeur ajoutée de l’ARTAG</w:t>
      </w:r>
      <w:bookmarkEnd w:id="1"/>
    </w:p>
    <w:p w14:paraId="26B17124" w14:textId="77777777" w:rsidR="005A6DF6" w:rsidRPr="005A6DF6" w:rsidRDefault="005A6DF6" w:rsidP="005A6DF6">
      <w:pPr>
        <w:keepNext/>
        <w:keepLines/>
        <w:spacing w:before="160" w:after="80" w:line="240" w:lineRule="auto"/>
        <w:jc w:val="center"/>
        <w:outlineLvl w:val="1"/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</w:pPr>
      <w:r w:rsidRPr="005A6DF6"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  <w:t>Une forte utilité sociale</w:t>
      </w:r>
    </w:p>
    <w:p w14:paraId="004E4374" w14:textId="77777777" w:rsidR="005A6DF6" w:rsidRPr="005A6DF6" w:rsidRDefault="005A6DF6" w:rsidP="005A6DF6">
      <w:pPr>
        <w:spacing w:after="0" w:line="240" w:lineRule="auto"/>
        <w:jc w:val="both"/>
        <w:rPr>
          <w:sz w:val="24"/>
          <w:szCs w:val="24"/>
        </w:rPr>
      </w:pPr>
      <w:r w:rsidRPr="005A6DF6">
        <w:t xml:space="preserve">Accès aux droits (domiciliation) ; fonction passerelle vers le droit commun et le reste de la société ; accès aux offres de services du territoire ; aide administrative ; accompagnement social adapté et humain ; insertion sociale et professionnelle ; réduction des inégalités sociales ; amortisseur des trajectoires de précarisation ; etc. </w:t>
      </w:r>
    </w:p>
    <w:p w14:paraId="557E76A8" w14:textId="77777777" w:rsidR="005A6DF6" w:rsidRPr="005A6DF6" w:rsidRDefault="005A6DF6" w:rsidP="005A6DF6"/>
    <w:p w14:paraId="6F9AE9BD" w14:textId="77777777" w:rsidR="005A6DF6" w:rsidRPr="005A6DF6" w:rsidRDefault="005A6DF6" w:rsidP="005A6DF6">
      <w:pPr>
        <w:keepNext/>
        <w:keepLines/>
        <w:spacing w:before="160" w:after="80" w:line="240" w:lineRule="auto"/>
        <w:jc w:val="center"/>
        <w:outlineLvl w:val="1"/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</w:pPr>
      <w:r w:rsidRPr="005A6DF6"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  <w:lastRenderedPageBreak/>
        <w:t>Une contribution au vivre ensemble entre voyageurs et gadjé</w:t>
      </w:r>
    </w:p>
    <w:p w14:paraId="2505F6AA" w14:textId="77777777" w:rsidR="005A6DF6" w:rsidRPr="005A6DF6" w:rsidRDefault="005A6DF6" w:rsidP="005A6DF6">
      <w:pPr>
        <w:spacing w:after="0" w:line="240" w:lineRule="auto"/>
        <w:jc w:val="both"/>
      </w:pPr>
      <w:r w:rsidRPr="005A6DF6">
        <w:t xml:space="preserve">Lien de confiance ; médiation entre Voyageurs et acteurs publics ; reconnaissance du mode d’habitat et de vie des Gens du voyage ; faire connaître et reconnaître les Gens du voyage ; fonction d’intermédiaire et d’interface ; rôle d’interlocuteur privilégié ; etc. </w:t>
      </w:r>
    </w:p>
    <w:p w14:paraId="70D4AD19" w14:textId="77777777" w:rsidR="005A6DF6" w:rsidRPr="005A6DF6" w:rsidRDefault="005A6DF6" w:rsidP="005A6DF6"/>
    <w:p w14:paraId="2A019404" w14:textId="77777777" w:rsidR="005A6DF6" w:rsidRPr="005A6DF6" w:rsidRDefault="005A6DF6" w:rsidP="005A6DF6">
      <w:pPr>
        <w:keepNext/>
        <w:keepLines/>
        <w:spacing w:before="160" w:after="80" w:line="240" w:lineRule="auto"/>
        <w:jc w:val="center"/>
        <w:outlineLvl w:val="1"/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</w:pPr>
      <w:r w:rsidRPr="005A6DF6"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  <w:t>Un renforcement de la participation et de la citoyenneté des voyageurs</w:t>
      </w:r>
    </w:p>
    <w:p w14:paraId="199821B7" w14:textId="77777777" w:rsidR="005A6DF6" w:rsidRPr="005A6DF6" w:rsidRDefault="005A6DF6" w:rsidP="005A6DF6">
      <w:pPr>
        <w:spacing w:after="0" w:line="240" w:lineRule="auto"/>
        <w:jc w:val="both"/>
      </w:pPr>
      <w:r w:rsidRPr="005A6DF6">
        <w:t xml:space="preserve">Reconnaissance et valorisation de l’expertise même des Gens du voyage ; faire émerger et accompagner la parole des Gens du voyage auprès des partenaires institutionnels ; fonction de porte-parole et de porter à connaissance ; implication des Voyageurs au sein de l’association et en direction des partenaires ; etc. </w:t>
      </w:r>
    </w:p>
    <w:p w14:paraId="7C522F29" w14:textId="77777777" w:rsidR="005A6DF6" w:rsidRPr="005A6DF6" w:rsidRDefault="005A6DF6" w:rsidP="005A6DF6"/>
    <w:p w14:paraId="77E8353F" w14:textId="77777777" w:rsidR="005A6DF6" w:rsidRPr="005A6DF6" w:rsidRDefault="005A6DF6" w:rsidP="005A6DF6">
      <w:pPr>
        <w:keepNext/>
        <w:keepLines/>
        <w:spacing w:before="160" w:after="80" w:line="240" w:lineRule="auto"/>
        <w:jc w:val="center"/>
        <w:outlineLvl w:val="1"/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</w:pPr>
      <w:r w:rsidRPr="005A6DF6">
        <w:rPr>
          <w:rFonts w:asciiTheme="majorHAnsi" w:eastAsiaTheme="majorEastAsia" w:hAnsiTheme="majorHAnsi" w:cstheme="majorBidi"/>
          <w:i/>
          <w:color w:val="D60093"/>
          <w:sz w:val="24"/>
          <w:szCs w:val="32"/>
        </w:rPr>
        <w:t>Une forte expertise sur la question gens du voyage</w:t>
      </w:r>
    </w:p>
    <w:p w14:paraId="224FADBF" w14:textId="77777777" w:rsidR="005A6DF6" w:rsidRPr="005A6DF6" w:rsidRDefault="005A6DF6" w:rsidP="005A6DF6">
      <w:pPr>
        <w:jc w:val="both"/>
        <w:rPr>
          <w:b/>
        </w:rPr>
      </w:pPr>
      <w:r w:rsidRPr="005A6DF6">
        <w:t>Connaissance des familles et de leurs réalités de vie ; connaissance de la diversité au sein du monde du voyage ; connaissance des dimensions culturelles ; savoirs et savoir-faire en matière d’accompagnement des Gens du voyage ; approche transversale adaptée aux réalités et aux publics ; expertise en matière d’études, de formation et de diagnostic ; participation aux missions du cabinet CATHS sur les enjeux d’accueil et d’habitat ; méthodologies d’accompagnement et d’étude ; approche de développement social local ; capacité à prendre en compte les spécificités des publics accompagnés ; etc.</w:t>
      </w:r>
    </w:p>
    <w:p w14:paraId="65C9359A" w14:textId="77777777" w:rsidR="005A6DF6" w:rsidRPr="005A6DF6" w:rsidRDefault="005A6DF6" w:rsidP="005A6DF6"/>
    <w:p w14:paraId="5C4F92AA" w14:textId="3412C021" w:rsidR="005A6DF6" w:rsidRDefault="005A6DF6">
      <w:pPr>
        <w:rPr>
          <w:rFonts w:eastAsiaTheme="majorEastAsia" w:cstheme="majorBidi"/>
          <w:b/>
          <w:bCs/>
          <w:color w:val="008080"/>
          <w:sz w:val="24"/>
          <w:szCs w:val="24"/>
          <w:u w:val="single"/>
        </w:rPr>
      </w:pPr>
      <w:r>
        <w:rPr>
          <w:rFonts w:eastAsiaTheme="majorEastAsia" w:cstheme="majorBidi"/>
          <w:b/>
          <w:bCs/>
          <w:color w:val="008080"/>
          <w:sz w:val="24"/>
          <w:szCs w:val="24"/>
          <w:u w:val="single"/>
        </w:rPr>
        <w:t>Les actions</w:t>
      </w:r>
    </w:p>
    <w:p w14:paraId="0B082630" w14:textId="08897A07" w:rsidR="005A6DF6" w:rsidRDefault="00A86975" w:rsidP="00A86975">
      <w:pPr>
        <w:pStyle w:val="Paragraphedeliste"/>
        <w:numPr>
          <w:ilvl w:val="0"/>
          <w:numId w:val="1"/>
        </w:numPr>
      </w:pPr>
      <w:r>
        <w:t>Accompagnement social et accès aux droits</w:t>
      </w:r>
    </w:p>
    <w:p w14:paraId="2EDE06FA" w14:textId="1213DF80" w:rsidR="00A86975" w:rsidRDefault="00A86975" w:rsidP="00A86975">
      <w:pPr>
        <w:pStyle w:val="Paragraphedeliste"/>
        <w:numPr>
          <w:ilvl w:val="0"/>
          <w:numId w:val="1"/>
        </w:numPr>
      </w:pPr>
      <w:r>
        <w:t xml:space="preserve">Domiciliation </w:t>
      </w:r>
    </w:p>
    <w:p w14:paraId="26C256D2" w14:textId="39C2FC9D" w:rsidR="00A86975" w:rsidRDefault="00A86975" w:rsidP="00A86975">
      <w:pPr>
        <w:pStyle w:val="Paragraphedeliste"/>
        <w:numPr>
          <w:ilvl w:val="0"/>
          <w:numId w:val="1"/>
        </w:numPr>
      </w:pPr>
      <w:r>
        <w:t>Insertion socioprofessionnelle des jeunes et des adultes</w:t>
      </w:r>
    </w:p>
    <w:p w14:paraId="2D705A14" w14:textId="5D75EEFC" w:rsidR="00A86975" w:rsidRDefault="00A86975" w:rsidP="00A86975">
      <w:pPr>
        <w:pStyle w:val="Paragraphedeliste"/>
        <w:numPr>
          <w:ilvl w:val="0"/>
          <w:numId w:val="1"/>
        </w:numPr>
      </w:pPr>
      <w:r>
        <w:t>Médiation scolaire, médiation en santé</w:t>
      </w:r>
    </w:p>
    <w:p w14:paraId="388833A8" w14:textId="3654A234" w:rsidR="00A86975" w:rsidRDefault="00A86975" w:rsidP="00A86975">
      <w:pPr>
        <w:pStyle w:val="Paragraphedeliste"/>
        <w:numPr>
          <w:ilvl w:val="0"/>
          <w:numId w:val="1"/>
        </w:numPr>
      </w:pPr>
      <w:r>
        <w:t>Accompagnement à la parentalité</w:t>
      </w:r>
      <w:r w:rsidR="00770C24">
        <w:t xml:space="preserve"> et animations enfance-familles</w:t>
      </w:r>
    </w:p>
    <w:p w14:paraId="74B342FF" w14:textId="59F20FCE" w:rsidR="00A86975" w:rsidRDefault="00A86975" w:rsidP="00A86975">
      <w:pPr>
        <w:pStyle w:val="Paragraphedeliste"/>
        <w:numPr>
          <w:ilvl w:val="0"/>
          <w:numId w:val="1"/>
        </w:numPr>
      </w:pPr>
      <w:r>
        <w:t>Développement des pratiques culturelles et valorisation des cultures</w:t>
      </w:r>
    </w:p>
    <w:p w14:paraId="00842EF7" w14:textId="6DE6BA04" w:rsidR="00A86975" w:rsidRPr="005A6DF6" w:rsidRDefault="00A86975" w:rsidP="00A86975">
      <w:pPr>
        <w:pStyle w:val="Paragraphedeliste"/>
        <w:numPr>
          <w:ilvl w:val="0"/>
          <w:numId w:val="1"/>
        </w:numPr>
      </w:pPr>
      <w:r>
        <w:t>Accompagnement au logement et de projets d’habitats adaptés</w:t>
      </w:r>
    </w:p>
    <w:sectPr w:rsidR="00A86975" w:rsidRPr="005A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6196"/>
    <w:multiLevelType w:val="hybridMultilevel"/>
    <w:tmpl w:val="6ECC2BB8"/>
    <w:lvl w:ilvl="0" w:tplc="9EEA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F6"/>
    <w:rsid w:val="001A1E86"/>
    <w:rsid w:val="00330A77"/>
    <w:rsid w:val="005A6DF6"/>
    <w:rsid w:val="005D257D"/>
    <w:rsid w:val="006A0EDC"/>
    <w:rsid w:val="00770C24"/>
    <w:rsid w:val="00A86975"/>
    <w:rsid w:val="00B85F12"/>
    <w:rsid w:val="00D16B7B"/>
    <w:rsid w:val="00E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E6E0"/>
  <w15:chartTrackingRefBased/>
  <w15:docId w15:val="{DB22FA88-A2B1-408D-A8F8-79513E2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12"/>
  </w:style>
  <w:style w:type="paragraph" w:styleId="Titre1">
    <w:name w:val="heading 1"/>
    <w:basedOn w:val="Normal"/>
    <w:next w:val="Normal"/>
    <w:link w:val="Titre1Car"/>
    <w:uiPriority w:val="9"/>
    <w:qFormat/>
    <w:rsid w:val="005A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6D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6D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6D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6D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6D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6D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6D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6D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6D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6D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Carteron</dc:creator>
  <cp:keywords/>
  <dc:description/>
  <cp:lastModifiedBy>Martine Carteron</cp:lastModifiedBy>
  <cp:revision>4</cp:revision>
  <dcterms:created xsi:type="dcterms:W3CDTF">2024-09-23T09:48:00Z</dcterms:created>
  <dcterms:modified xsi:type="dcterms:W3CDTF">2024-09-25T09:20:00Z</dcterms:modified>
</cp:coreProperties>
</file>